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DC0AB7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DC0AB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KKT-B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DC0AB7">
        <w:rPr>
          <w:rFonts w:ascii="Verdana" w:hAnsi="Verdana" w:cs="Arial"/>
          <w:b/>
          <w:sz w:val="20"/>
          <w:szCs w:val="20"/>
        </w:rPr>
        <w:t>KKT-B</w:t>
      </w:r>
      <w:bookmarkStart w:id="0" w:name="_GoBack"/>
      <w:bookmarkEnd w:id="0"/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0CC1">
              <w:rPr>
                <w:rFonts w:ascii="Verdana" w:hAnsi="Verdana" w:cs="Arial"/>
                <w:b/>
                <w:sz w:val="20"/>
                <w:szCs w:val="20"/>
              </w:rPr>
              <w:t>Klebelsberg Intézményfenntartó Központ</w:t>
            </w:r>
            <w:r w:rsidR="00471287"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fenntartásába</w:t>
            </w:r>
            <w:r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tartozó köznevelési intézmény esetén a Tankerületi vezető ellenjegyzése is szükséges!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C0AB7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2013-12-16T10:03:00Z</dcterms:modified>
</cp:coreProperties>
</file>