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050A4D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70263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70263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NTP-RTP-M-13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50A4D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0A4D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026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C1D3-6DE2-4D0D-9170-E34E1FB2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2013-12-19T07:28:00Z</dcterms:modified>
</cp:coreProperties>
</file>